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AD7BB">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1299" w:leftChars="400" w:right="983" w:rightChars="468" w:hanging="459" w:hangingChars="127"/>
        <w:jc w:val="center"/>
        <w:textAlignment w:val="auto"/>
        <w:rPr>
          <w:rStyle w:val="8"/>
          <w:rFonts w:hint="eastAsia" w:ascii="仿宋" w:hAnsi="仿宋" w:eastAsia="仿宋" w:cs="仿宋"/>
          <w:b/>
          <w:bCs w:val="0"/>
          <w:color w:val="auto"/>
          <w:w w:val="100"/>
          <w:kern w:val="2"/>
          <w:sz w:val="36"/>
          <w:szCs w:val="36"/>
          <w:highlight w:val="none"/>
          <w:lang w:val="en-US" w:eastAsia="zh-CN" w:bidi="ar"/>
        </w:rPr>
      </w:pPr>
      <w:bookmarkStart w:id="6" w:name="_GoBack"/>
      <w:bookmarkEnd w:id="6"/>
      <w:r>
        <w:rPr>
          <w:rStyle w:val="8"/>
          <w:rFonts w:hint="eastAsia" w:ascii="仿宋" w:hAnsi="仿宋" w:eastAsia="仿宋" w:cs="仿宋"/>
          <w:b/>
          <w:bCs w:val="0"/>
          <w:color w:val="auto"/>
          <w:w w:val="100"/>
          <w:kern w:val="2"/>
          <w:sz w:val="36"/>
          <w:szCs w:val="36"/>
          <w:highlight w:val="none"/>
          <w:lang w:val="en-US" w:eastAsia="zh-CN" w:bidi="ar"/>
        </w:rPr>
        <w:t>山东钢铁集团有限公司2026年</w:t>
      </w:r>
    </w:p>
    <w:p w14:paraId="15DD6C11">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1299" w:leftChars="400" w:right="983" w:rightChars="468" w:hanging="459" w:hangingChars="127"/>
        <w:jc w:val="center"/>
        <w:textAlignment w:val="auto"/>
        <w:rPr>
          <w:rFonts w:hint="eastAsia" w:ascii="仿宋" w:hAnsi="仿宋" w:eastAsia="仿宋" w:cs="仿宋"/>
          <w:b/>
          <w:bCs w:val="0"/>
          <w:color w:val="auto"/>
          <w:w w:val="100"/>
          <w:sz w:val="36"/>
          <w:szCs w:val="36"/>
          <w:highlight w:val="none"/>
          <w:lang w:val="en-US"/>
        </w:rPr>
      </w:pPr>
      <w:r>
        <w:rPr>
          <w:rStyle w:val="8"/>
          <w:rFonts w:hint="eastAsia" w:ascii="仿宋" w:hAnsi="仿宋" w:eastAsia="仿宋" w:cs="仿宋"/>
          <w:b/>
          <w:bCs w:val="0"/>
          <w:color w:val="auto"/>
          <w:w w:val="100"/>
          <w:kern w:val="2"/>
          <w:sz w:val="36"/>
          <w:szCs w:val="36"/>
          <w:highlight w:val="none"/>
          <w:lang w:val="en-US" w:eastAsia="zh-CN" w:bidi="ar"/>
        </w:rPr>
        <w:t>永续中期票据承销商选聘项目招标公告</w:t>
      </w:r>
    </w:p>
    <w:p w14:paraId="2D755A8D">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1.招标条件</w:t>
      </w:r>
    </w:p>
    <w:p w14:paraId="4E0A2AF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sz w:val="24"/>
          <w:szCs w:val="24"/>
          <w:highlight w:val="none"/>
          <w:lang w:val="en-US"/>
        </w:rPr>
      </w:pPr>
      <w:r>
        <w:rPr>
          <w:rFonts w:hint="eastAsia" w:ascii="仿宋" w:hAnsi="仿宋" w:eastAsia="仿宋" w:cs="仿宋"/>
          <w:bCs/>
          <w:color w:val="auto"/>
          <w:w w:val="100"/>
          <w:kern w:val="2"/>
          <w:sz w:val="24"/>
          <w:szCs w:val="24"/>
          <w:highlight w:val="none"/>
          <w:lang w:val="en-US" w:eastAsia="zh-CN" w:bidi="ar"/>
        </w:rPr>
        <w:t>山东钢铁集团有限公司2026年永续中期票据承销商选聘项目已由相关部门批准，招标人为山东钢铁集团有限公司。本项目已具备招标条件，现对该项目进行公开招标，</w:t>
      </w:r>
      <w:r>
        <w:rPr>
          <w:rFonts w:hint="eastAsia" w:ascii="仿宋" w:hAnsi="仿宋" w:eastAsia="仿宋" w:cs="仿宋"/>
          <w:color w:val="auto"/>
          <w:sz w:val="24"/>
          <w:szCs w:val="24"/>
          <w:highlight w:val="none"/>
        </w:rPr>
        <w:t>欢迎符合条件的投标人参加投标。</w:t>
      </w:r>
    </w:p>
    <w:p w14:paraId="2295D090">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2.项目概述及招标范围</w:t>
      </w:r>
    </w:p>
    <w:p w14:paraId="0B378E1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2.1招标编号：LYZB202602101J</w:t>
      </w:r>
    </w:p>
    <w:p w14:paraId="28CE0C1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2.2项目名称：山东钢铁集团有限公司2026年永续中期票据承销商选聘项目</w:t>
      </w:r>
    </w:p>
    <w:p w14:paraId="4716071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2.3招标范围：山东钢铁集团有限公司拟发行不超过150亿元永续中期票据，本次招标选定承销商负责本次债券的注册及发行工作。</w:t>
      </w:r>
    </w:p>
    <w:p w14:paraId="7148FB5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2.4发行规模：拟注册不超过150亿元人民币（含）永续中期票据发行额度（具体以银行间市场交易商协会注册通知书为准）。</w:t>
      </w:r>
    </w:p>
    <w:p w14:paraId="44F1440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2.5发行计划：由招标人根据资金需求状况，在核准有效期内拟一次注册、分期发行。</w:t>
      </w:r>
    </w:p>
    <w:p w14:paraId="1D4AD49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2.6发行方式：公开发</w:t>
      </w:r>
      <w:r>
        <w:rPr>
          <w:rFonts w:hint="eastAsia" w:ascii="仿宋" w:hAnsi="仿宋" w:eastAsia="仿宋" w:cs="仿宋"/>
          <w:bCs/>
          <w:color w:val="auto"/>
          <w:w w:val="100"/>
          <w:kern w:val="2"/>
          <w:sz w:val="24"/>
          <w:szCs w:val="24"/>
          <w:highlight w:val="none"/>
          <w:shd w:val="clear" w:color="auto" w:fill="auto"/>
          <w:lang w:val="en-US" w:eastAsia="zh-CN" w:bidi="ar"/>
        </w:rPr>
        <w:t>行，采取余额包销方式发行。</w:t>
      </w:r>
    </w:p>
    <w:p w14:paraId="485720E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2.7中标家数：招标人根据发行额和发行需要选择不超过20家金融机构作为承销团进行运作。</w:t>
      </w:r>
    </w:p>
    <w:p w14:paraId="74238AB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2.8服务地点：根据本次发行工作的需要，招标人指定地点。</w:t>
      </w:r>
    </w:p>
    <w:p w14:paraId="55B9929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2.9服务期限：自合同生效之日起，至永续中期票据本息兑付完毕止。</w:t>
      </w:r>
    </w:p>
    <w:p w14:paraId="3C166EA1">
      <w:pPr>
        <w:keepNext w:val="0"/>
        <w:keepLines w:val="0"/>
        <w:widowControl w:val="0"/>
        <w:suppressLineNumbers w:val="0"/>
        <w:snapToGrid w:val="0"/>
        <w:spacing w:before="0" w:beforeAutospacing="0" w:after="0" w:afterAutospacing="0" w:line="360" w:lineRule="auto"/>
        <w:ind w:right="0" w:firstLine="482" w:firstLineChars="200"/>
        <w:jc w:val="left"/>
        <w:rPr>
          <w:rFonts w:hint="default" w:ascii="仿宋" w:hAnsi="仿宋" w:eastAsia="仿宋" w:cs="仿宋"/>
          <w:b/>
          <w:bCs w:val="0"/>
          <w:color w:val="auto"/>
          <w:spacing w:val="0"/>
          <w:w w:val="100"/>
          <w:kern w:val="2"/>
          <w:sz w:val="24"/>
          <w:szCs w:val="24"/>
          <w:highlight w:val="none"/>
          <w:lang w:val="en-US" w:eastAsia="zh-CN" w:bidi="ar"/>
        </w:rPr>
      </w:pPr>
      <w:r>
        <w:rPr>
          <w:rFonts w:hint="eastAsia" w:ascii="仿宋" w:hAnsi="仿宋" w:eastAsia="仿宋" w:cs="仿宋"/>
          <w:b/>
          <w:bCs w:val="0"/>
          <w:color w:val="auto"/>
          <w:spacing w:val="0"/>
          <w:w w:val="100"/>
          <w:kern w:val="2"/>
          <w:sz w:val="24"/>
          <w:szCs w:val="24"/>
          <w:highlight w:val="none"/>
          <w:lang w:val="en-US" w:eastAsia="zh-CN" w:bidi="ar"/>
        </w:rPr>
        <w:t>2.10中标有效时限：自中标日起，招标人拟在十个工作日内向中国银行间市场交易商协会提交永续中期票据注册发行材料，在获得中国银行间市场交易商协会正式批文之前，中标人需满足注册发行的条件，否则视为自动放弃中标资格。</w:t>
      </w:r>
    </w:p>
    <w:p w14:paraId="2BA81C02">
      <w:pPr>
        <w:keepNext w:val="0"/>
        <w:keepLines w:val="0"/>
        <w:widowControl w:val="0"/>
        <w:suppressLineNumbers w:val="0"/>
        <w:snapToGrid w:val="0"/>
        <w:spacing w:before="0" w:beforeAutospacing="0" w:after="0" w:afterAutospacing="0" w:line="360" w:lineRule="auto"/>
        <w:ind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注：①招标人已采取合理方式提请投标人注意，本招标公告与投标人有重大关系的条款，投标人向招标人投递标书，即视为同意。</w:t>
      </w:r>
    </w:p>
    <w:p w14:paraId="751F149C">
      <w:pPr>
        <w:keepNext w:val="0"/>
        <w:keepLines w:val="0"/>
        <w:widowControl w:val="0"/>
        <w:suppressLineNumbers w:val="0"/>
        <w:snapToGrid w:val="0"/>
        <w:spacing w:before="0" w:beforeAutospacing="0" w:after="0" w:afterAutospacing="0" w:line="360" w:lineRule="auto"/>
        <w:ind w:right="0" w:firstLine="480" w:firstLineChars="200"/>
        <w:jc w:val="left"/>
        <w:rPr>
          <w:rFonts w:hint="default" w:ascii="仿宋" w:hAnsi="仿宋" w:eastAsia="仿宋" w:cs="仿宋"/>
          <w:b w:val="0"/>
          <w:bCs/>
          <w:color w:val="auto"/>
          <w:spacing w:val="0"/>
          <w:w w:val="100"/>
          <w:kern w:val="2"/>
          <w:sz w:val="24"/>
          <w:szCs w:val="24"/>
          <w:highlight w:val="none"/>
          <w:lang w:val="en-US" w:eastAsia="zh-CN" w:bidi="ar"/>
        </w:rPr>
      </w:pPr>
      <w:r>
        <w:rPr>
          <w:rFonts w:hint="eastAsia" w:ascii="仿宋" w:hAnsi="仿宋" w:eastAsia="仿宋" w:cs="仿宋"/>
          <w:b w:val="0"/>
          <w:bCs/>
          <w:color w:val="auto"/>
          <w:spacing w:val="0"/>
          <w:w w:val="100"/>
          <w:kern w:val="2"/>
          <w:sz w:val="24"/>
          <w:szCs w:val="24"/>
          <w:highlight w:val="none"/>
          <w:lang w:val="en-US" w:eastAsia="zh-CN" w:bidi="ar"/>
        </w:rPr>
        <w:t>②招标人有权对中标候选人的履约能力进行核验。核验可包括资质、信用、财务状况、特定人员资格等，发现存在可能影响履约的重大变化或虚假材料，招标人有权取消其中标资格。</w:t>
      </w:r>
    </w:p>
    <w:p w14:paraId="4F20F68D">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3.投标人资格要求</w:t>
      </w:r>
    </w:p>
    <w:p w14:paraId="475BAB9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 xml:space="preserve">3.1在中华人民共和国境内注册，具有独立法人资格和相应经营范围的银行机构或证券公司（或其总机构唯一授权的所属分支机构）；  </w:t>
      </w:r>
    </w:p>
    <w:p w14:paraId="637B2A8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（1）资质要求：投标人或投标人的总机构具有银行间市场交易商协会银行类机构承销商资格或非银行类机构证券公司主承销商资格；</w:t>
      </w:r>
    </w:p>
    <w:p w14:paraId="4792D94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（2）业绩要求：2023年2月1日至投标截止日成功发行永续中期票据业绩或已具备发行永续中期票据资质；</w:t>
      </w:r>
    </w:p>
    <w:p w14:paraId="2BB6941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（3）信誉要求：投标人必须具有良好的商业信誉和健全的财务会计制度，没有处于被责令停业，投标资格被取消，财产被接管、冻结或破产状态；2023年2月1日至投标截止日在经营活动中无重大违法、违规记录， 且未处于投标禁入期内；</w:t>
      </w:r>
    </w:p>
    <w:p w14:paraId="48079F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（4）承担本项目的主要人员要求：拟派项目团队成员具有丰富的债券发行经验、较高的专业素质、良好的沟通协调能力；</w:t>
      </w:r>
    </w:p>
    <w:p w14:paraId="630213F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（5）其他要求：分支机构代表法人机构进行投标的，须具有法人机构对本项目的唯一授权。</w:t>
      </w:r>
    </w:p>
    <w:p w14:paraId="7BBE22D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3.2投标人不得存在下列情形之一：</w:t>
      </w:r>
    </w:p>
    <w:p w14:paraId="1521C81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（1）处于责令停产停业、暂扣或者吊销执照、暂扣或者吊销许可证、吊销资质证书状态；</w:t>
      </w:r>
    </w:p>
    <w:p w14:paraId="386349C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（2）进入清算程序，或被宣告破产，或其他丧失履约能力的情形；</w:t>
      </w:r>
    </w:p>
    <w:p w14:paraId="4891F10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（3）其他：①与招标人存在利害关系且可能影响招标活动公正性；②与本招标项目的其他投标人为同一个单位负责人；③与本招标项目的其他投标人存在控股、管理关系。</w:t>
      </w:r>
    </w:p>
    <w:p w14:paraId="7BD4A05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（4）被山东钢铁集团有限公司及权属单位列入合作异常名录的。</w:t>
      </w:r>
    </w:p>
    <w:p w14:paraId="7EB5AC5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3.3本次招标不接受联合体投标，中标后不得违法转包、分包。</w:t>
      </w:r>
    </w:p>
    <w:p w14:paraId="2589B6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本项目采用资格后审方式，请投标人仔细阅读以上资格条件要求并自查，投标时投标文件中请附招标文件要求的所有资格证明材料。资格审查不通过者，不再进入下一环节评审。</w:t>
      </w:r>
    </w:p>
    <w:p w14:paraId="7D19EE54">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4.招标文件的获取</w:t>
      </w:r>
    </w:p>
    <w:p w14:paraId="37E6498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4.1凡有意参加本次公开招标的投标人，请于</w:t>
      </w:r>
      <w:r>
        <w:rPr>
          <w:rFonts w:hint="eastAsia" w:ascii="仿宋" w:hAnsi="仿宋" w:eastAsia="仿宋" w:cs="仿宋"/>
          <w:b/>
          <w:bCs w:val="0"/>
          <w:color w:val="auto"/>
          <w:w w:val="100"/>
          <w:kern w:val="2"/>
          <w:sz w:val="24"/>
          <w:szCs w:val="24"/>
          <w:highlight w:val="none"/>
          <w:u w:val="single"/>
          <w:lang w:val="en-US" w:eastAsia="zh-CN" w:bidi="ar"/>
        </w:rPr>
        <w:t>2026年2月10日至2026年2月14日（上午09时00分至11时30分，下午13时30分至 17时00分）</w:t>
      </w:r>
      <w:r>
        <w:rPr>
          <w:rFonts w:hint="eastAsia" w:ascii="仿宋" w:hAnsi="仿宋" w:eastAsia="仿宋" w:cs="仿宋"/>
          <w:bCs/>
          <w:color w:val="auto"/>
          <w:w w:val="100"/>
          <w:kern w:val="2"/>
          <w:sz w:val="24"/>
          <w:szCs w:val="24"/>
          <w:highlight w:val="none"/>
          <w:lang w:val="en-US" w:eastAsia="zh-CN" w:bidi="ar"/>
        </w:rPr>
        <w:t>，将附件1登记表（格式见公告附件）及附件2经办人的授权委托书或介绍信（介绍信格式自拟）、购买标书付款凭证的电子版（PDF）扫描件发送至sdlyzbdl@163.com邮箱内，经招标代理机构审核通过，向投标人提供招标文件（电子版采购文件发送至登记表邮箱中，纸质版采购文件邮寄至登记表收件地址）。</w:t>
      </w:r>
    </w:p>
    <w:p w14:paraId="4EF86F81">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spacing w:val="0"/>
          <w:w w:val="100"/>
          <w:sz w:val="24"/>
          <w:szCs w:val="24"/>
          <w:highlight w:val="none"/>
          <w:lang w:val="en-US" w:eastAsia="zh-CN"/>
        </w:rPr>
        <w:t>4.2招标文件每套售价人民币500.00元，售出不退（招标代理机构收款账户信息详见公告8.3），文件费采取网上转账方式，标书费必须由企业对公账户转出，务必备注项目名称+用途（可简写）；投标人必须确保银行转账记录的真实性，由于提供错误或者虚假的转账凭证，招标代理机构有权不予确认，产生的一切后果由投标人自负。</w:t>
      </w:r>
    </w:p>
    <w:p w14:paraId="4EF7877C">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5.投标文件的递交</w:t>
      </w:r>
    </w:p>
    <w:p w14:paraId="2DE46105">
      <w:pPr>
        <w:keepNext w:val="0"/>
        <w:keepLines w:val="0"/>
        <w:widowControl w:val="0"/>
        <w:suppressLineNumbers w:val="0"/>
        <w:shd w:val="clear" w:color="auto" w:fill="auto"/>
        <w:snapToGrid w:val="0"/>
        <w:spacing w:before="0" w:beforeAutospacing="0" w:after="0" w:afterAutospacing="0" w:line="360" w:lineRule="auto"/>
        <w:ind w:left="0" w:right="0" w:firstLine="480" w:firstLineChars="200"/>
        <w:jc w:val="left"/>
        <w:rPr>
          <w:rFonts w:hint="eastAsia" w:ascii="仿宋" w:hAnsi="仿宋" w:eastAsia="仿宋" w:cs="仿宋"/>
          <w:bCs/>
          <w:color w:val="auto"/>
          <w:spacing w:val="0"/>
          <w:w w:val="100"/>
          <w:sz w:val="24"/>
          <w:szCs w:val="24"/>
          <w:highlight w:val="none"/>
          <w:lang w:val="en-US" w:eastAsia="zh-CN"/>
        </w:rPr>
      </w:pPr>
      <w:r>
        <w:rPr>
          <w:rFonts w:hint="eastAsia" w:ascii="仿宋" w:hAnsi="仿宋" w:eastAsia="仿宋" w:cs="仿宋"/>
          <w:bCs/>
          <w:color w:val="auto"/>
          <w:w w:val="100"/>
          <w:kern w:val="2"/>
          <w:sz w:val="24"/>
          <w:szCs w:val="24"/>
          <w:highlight w:val="none"/>
          <w:lang w:val="en-US" w:eastAsia="zh-CN" w:bidi="ar"/>
        </w:rPr>
        <w:t>5.1投标文件递交的截止时间：</w:t>
      </w:r>
      <w:r>
        <w:rPr>
          <w:rFonts w:hint="eastAsia" w:ascii="仿宋" w:hAnsi="仿宋" w:eastAsia="仿宋" w:cs="仿宋"/>
          <w:bCs/>
          <w:color w:val="auto"/>
          <w:spacing w:val="0"/>
          <w:w w:val="100"/>
          <w:sz w:val="24"/>
          <w:szCs w:val="24"/>
          <w:highlight w:val="none"/>
          <w:lang w:val="en-US" w:eastAsia="zh-CN"/>
        </w:rPr>
        <w:t>投标文件递交的截止时间：</w:t>
      </w:r>
      <w:r>
        <w:rPr>
          <w:rFonts w:hint="eastAsia" w:ascii="仿宋" w:hAnsi="仿宋" w:eastAsia="仿宋" w:cs="仿宋"/>
          <w:b/>
          <w:bCs w:val="0"/>
          <w:color w:val="auto"/>
          <w:spacing w:val="0"/>
          <w:w w:val="100"/>
          <w:sz w:val="24"/>
          <w:szCs w:val="24"/>
          <w:highlight w:val="none"/>
          <w:u w:val="single"/>
          <w:lang w:val="en-US" w:eastAsia="zh-CN"/>
        </w:rPr>
        <w:t>2026年3月4日08:30前</w:t>
      </w:r>
      <w:r>
        <w:rPr>
          <w:rFonts w:hint="eastAsia" w:ascii="仿宋" w:hAnsi="仿宋" w:eastAsia="仿宋" w:cs="仿宋"/>
          <w:bCs/>
          <w:color w:val="auto"/>
          <w:spacing w:val="0"/>
          <w:w w:val="100"/>
          <w:sz w:val="24"/>
          <w:szCs w:val="24"/>
          <w:highlight w:val="none"/>
          <w:lang w:val="en-US" w:eastAsia="zh-CN"/>
        </w:rPr>
        <w:t>，递交形式及地点详见招标文件内容。</w:t>
      </w:r>
    </w:p>
    <w:p w14:paraId="7E42D9E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5.2逾期送达的或者未送达指定地点的投标文件，招标人不予受理。</w:t>
      </w:r>
    </w:p>
    <w:p w14:paraId="5D319DD7">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6.发布公告的媒介</w:t>
      </w:r>
    </w:p>
    <w:p w14:paraId="6B4D07A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 w:hAnsi="仿宋" w:eastAsia="仿宋" w:cs="仿宋"/>
          <w:bCs/>
          <w:color w:val="auto"/>
          <w:w w:val="100"/>
          <w:kern w:val="2"/>
          <w:sz w:val="24"/>
          <w:szCs w:val="24"/>
          <w:highlight w:val="none"/>
          <w:lang w:val="en-US" w:eastAsia="zh-CN" w:bidi="ar"/>
        </w:rPr>
      </w:pPr>
      <w:bookmarkStart w:id="0" w:name="_Toc35393625"/>
      <w:bookmarkEnd w:id="0"/>
      <w:bookmarkStart w:id="1" w:name="_Toc35393794"/>
      <w:bookmarkEnd w:id="1"/>
      <w:bookmarkStart w:id="2" w:name="_Toc28359007"/>
      <w:bookmarkEnd w:id="2"/>
      <w:bookmarkStart w:id="3" w:name="_Toc28359084"/>
      <w:r>
        <w:rPr>
          <w:rFonts w:hint="eastAsia" w:ascii="仿宋" w:hAnsi="仿宋" w:eastAsia="仿宋" w:cs="仿宋"/>
          <w:bCs/>
          <w:color w:val="auto"/>
          <w:w w:val="100"/>
          <w:kern w:val="2"/>
          <w:sz w:val="24"/>
          <w:szCs w:val="24"/>
          <w:highlight w:val="none"/>
          <w:lang w:val="en-US" w:eastAsia="zh-CN" w:bidi="ar"/>
        </w:rPr>
        <w:t>本次招标公告在山东钢铁集团有限公司招标采购与拍卖管理信息平台网（https://bams.shansteelgroup.com）上发布。除上述媒介以外的媒介转载或发布与本次招标相关信息的，招标人不承担任何责任并保留追究相关方责任的权利。</w:t>
      </w:r>
    </w:p>
    <w:p w14:paraId="7261A57D">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 w:hAnsi="仿宋" w:eastAsia="仿宋" w:cs="仿宋"/>
          <w:b/>
          <w:bCs w:val="0"/>
          <w:color w:val="auto"/>
          <w:w w:val="100"/>
          <w:sz w:val="28"/>
          <w:szCs w:val="28"/>
          <w:highlight w:val="none"/>
          <w:lang w:val="en-US"/>
        </w:rPr>
      </w:pPr>
      <w:r>
        <w:rPr>
          <w:rFonts w:hint="eastAsia" w:ascii="仿宋" w:hAnsi="仿宋" w:eastAsia="仿宋" w:cs="仿宋"/>
          <w:b/>
          <w:bCs w:val="0"/>
          <w:color w:val="auto"/>
          <w:w w:val="100"/>
          <w:kern w:val="2"/>
          <w:sz w:val="28"/>
          <w:szCs w:val="28"/>
          <w:highlight w:val="none"/>
          <w:lang w:val="en-US" w:eastAsia="zh-CN" w:bidi="ar"/>
        </w:rPr>
        <w:t>7.公告期限</w:t>
      </w:r>
      <w:bookmarkEnd w:id="3"/>
    </w:p>
    <w:p w14:paraId="7C6B6E1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bCs/>
          <w:color w:val="auto"/>
          <w:w w:val="100"/>
          <w:sz w:val="24"/>
          <w:szCs w:val="24"/>
          <w:highlight w:val="none"/>
          <w:lang w:val="en-US"/>
        </w:rPr>
      </w:pPr>
      <w:r>
        <w:rPr>
          <w:rFonts w:hint="eastAsia" w:ascii="仿宋" w:hAnsi="仿宋" w:eastAsia="仿宋" w:cs="仿宋"/>
          <w:bCs/>
          <w:color w:val="auto"/>
          <w:w w:val="100"/>
          <w:kern w:val="2"/>
          <w:sz w:val="24"/>
          <w:szCs w:val="24"/>
          <w:highlight w:val="none"/>
          <w:lang w:val="en-US" w:eastAsia="zh-CN" w:bidi="ar"/>
        </w:rPr>
        <w:t>自本公告发布之日起5个工作日。</w:t>
      </w:r>
    </w:p>
    <w:p w14:paraId="4E34EE5E">
      <w:pPr>
        <w:adjustRightInd w:val="0"/>
        <w:snapToGrid w:val="0"/>
        <w:spacing w:line="360" w:lineRule="auto"/>
        <w:jc w:val="left"/>
        <w:rPr>
          <w:rFonts w:hint="eastAsia" w:ascii="仿宋" w:hAnsi="仿宋" w:eastAsia="仿宋" w:cs="仿宋"/>
          <w:b/>
          <w:color w:val="auto"/>
          <w:w w:val="100"/>
          <w:sz w:val="28"/>
          <w:szCs w:val="28"/>
          <w:highlight w:val="none"/>
          <w:lang w:val="en-US" w:eastAsia="zh-CN"/>
        </w:rPr>
      </w:pPr>
      <w:r>
        <w:rPr>
          <w:rFonts w:hint="eastAsia" w:ascii="仿宋" w:hAnsi="仿宋" w:eastAsia="仿宋" w:cs="仿宋"/>
          <w:b/>
          <w:color w:val="auto"/>
          <w:w w:val="100"/>
          <w:sz w:val="28"/>
          <w:szCs w:val="28"/>
          <w:highlight w:val="none"/>
          <w:lang w:val="en-US" w:eastAsia="zh-CN"/>
        </w:rPr>
        <w:t>8.</w:t>
      </w:r>
      <w:r>
        <w:rPr>
          <w:rFonts w:hint="eastAsia" w:ascii="仿宋" w:hAnsi="仿宋" w:eastAsia="仿宋" w:cs="仿宋"/>
          <w:b/>
          <w:color w:val="auto"/>
          <w:w w:val="100"/>
          <w:sz w:val="28"/>
          <w:szCs w:val="28"/>
          <w:highlight w:val="none"/>
        </w:rPr>
        <w:t>联系方式</w:t>
      </w:r>
      <w:r>
        <w:rPr>
          <w:rFonts w:hint="eastAsia" w:ascii="仿宋" w:hAnsi="仿宋" w:eastAsia="仿宋" w:cs="仿宋"/>
          <w:b/>
          <w:color w:val="auto"/>
          <w:w w:val="100"/>
          <w:sz w:val="28"/>
          <w:szCs w:val="28"/>
          <w:highlight w:val="none"/>
          <w:lang w:val="en-US" w:eastAsia="zh-CN"/>
        </w:rPr>
        <w:t>及账户信息</w:t>
      </w:r>
    </w:p>
    <w:p w14:paraId="7B2CA6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firstLineChars="2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8.1招标人：山东钢铁集团有限公司</w:t>
      </w:r>
    </w:p>
    <w:p w14:paraId="729900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地  址：济南市高新区舜泰广场4号楼</w:t>
      </w:r>
    </w:p>
    <w:p w14:paraId="1ACF81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default"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联系人：安女士</w:t>
      </w:r>
    </w:p>
    <w:p w14:paraId="0A0FC9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电  话： 0531-67607293</w:t>
      </w:r>
    </w:p>
    <w:p w14:paraId="67ECCA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firstLineChars="2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8.2招标代理机构：山东鲁冶项目管理有限公司</w:t>
      </w:r>
    </w:p>
    <w:p w14:paraId="6D7BE1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地  址：济南市钢城区昌盛路22号机关幼儿园东临</w:t>
      </w:r>
    </w:p>
    <w:p w14:paraId="002162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 xml:space="preserve">联系人：刘女士、于先生            </w:t>
      </w:r>
    </w:p>
    <w:p w14:paraId="0551DA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电  话：18769398022、18353197992</w:t>
      </w:r>
    </w:p>
    <w:p w14:paraId="29D233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电子邮箱：sdlyzbdl@163.com</w:t>
      </w:r>
    </w:p>
    <w:p w14:paraId="542512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firstLineChars="2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8.3招标代理账户信息（标书费收款账户）：</w:t>
      </w:r>
    </w:p>
    <w:p w14:paraId="50F1DD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账户名称：山东鲁冶项目管理有限公司</w:t>
      </w:r>
    </w:p>
    <w:p w14:paraId="267085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开户行：农行济南文苑支行</w:t>
      </w:r>
    </w:p>
    <w:p w14:paraId="31885E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账  号：15153201040003377</w:t>
      </w:r>
    </w:p>
    <w:p w14:paraId="6B255D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bCs/>
          <w:color w:val="auto"/>
          <w:w w:val="100"/>
          <w:kern w:val="2"/>
          <w:sz w:val="24"/>
          <w:szCs w:val="24"/>
          <w:highlight w:val="none"/>
          <w:lang w:val="en-US" w:eastAsia="zh-CN" w:bidi="ar"/>
        </w:rPr>
      </w:pPr>
      <w:r>
        <w:rPr>
          <w:rFonts w:hint="eastAsia" w:ascii="仿宋" w:hAnsi="仿宋" w:eastAsia="仿宋" w:cs="仿宋"/>
          <w:bCs/>
          <w:color w:val="auto"/>
          <w:w w:val="100"/>
          <w:kern w:val="2"/>
          <w:sz w:val="24"/>
          <w:szCs w:val="24"/>
          <w:highlight w:val="none"/>
          <w:lang w:val="en-US" w:eastAsia="zh-CN" w:bidi="ar"/>
        </w:rPr>
        <w:t>联系人：赵先生</w:t>
      </w:r>
    </w:p>
    <w:p w14:paraId="034805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720"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w w:val="100"/>
          <w:kern w:val="2"/>
          <w:sz w:val="24"/>
          <w:szCs w:val="24"/>
          <w:highlight w:val="none"/>
          <w:lang w:val="en-US" w:eastAsia="zh-CN" w:bidi="ar"/>
        </w:rPr>
        <w:t xml:space="preserve">电  话：0531-76923329     </w:t>
      </w:r>
      <w:r>
        <w:rPr>
          <w:rFonts w:hint="eastAsia" w:ascii="仿宋" w:hAnsi="仿宋" w:eastAsia="仿宋" w:cs="仿宋"/>
          <w:color w:val="auto"/>
          <w:sz w:val="24"/>
          <w:szCs w:val="24"/>
          <w:highlight w:val="none"/>
        </w:rPr>
        <w:t xml:space="preserve">                                   </w:t>
      </w:r>
    </w:p>
    <w:p w14:paraId="53DE538B">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0E7AB97">
      <w:pPr>
        <w:snapToGrid w:val="0"/>
        <w:spacing w:line="360" w:lineRule="auto"/>
        <w:ind w:firstLine="482" w:firstLineChars="20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2月10</w:t>
      </w:r>
      <w:r>
        <w:rPr>
          <w:rFonts w:hint="eastAsia" w:ascii="仿宋" w:hAnsi="仿宋" w:eastAsia="仿宋" w:cs="仿宋"/>
          <w:b/>
          <w:bCs/>
          <w:color w:val="auto"/>
          <w:sz w:val="24"/>
          <w:szCs w:val="24"/>
          <w:highlight w:val="none"/>
        </w:rPr>
        <w:t>日</w:t>
      </w:r>
    </w:p>
    <w:p w14:paraId="59143632">
      <w:pPr>
        <w:spacing w:before="65" w:line="228" w:lineRule="auto"/>
        <w:rPr>
          <w:rFonts w:hint="eastAsia" w:ascii="仿宋" w:hAnsi="仿宋" w:eastAsia="仿宋" w:cs="仿宋"/>
          <w:color w:val="auto"/>
          <w:highlight w:val="none"/>
        </w:rPr>
        <w:sectPr>
          <w:headerReference r:id="rId3" w:type="default"/>
          <w:footerReference r:id="rId4" w:type="default"/>
          <w:pgSz w:w="11905" w:h="16838"/>
          <w:pgMar w:top="1871" w:right="1531" w:bottom="1417" w:left="1531" w:header="850" w:footer="992" w:gutter="0"/>
          <w:pgBorders>
            <w:top w:val="none" w:sz="0" w:space="0"/>
            <w:left w:val="none" w:sz="0" w:space="0"/>
            <w:bottom w:val="none" w:sz="0" w:space="0"/>
            <w:right w:val="none" w:sz="0" w:space="0"/>
          </w:pgBorders>
          <w:pgNumType w:fmt="decimal"/>
          <w:cols w:space="720" w:num="1"/>
          <w:docGrid w:type="lines" w:linePitch="315" w:charSpace="0"/>
        </w:sectPr>
      </w:pPr>
    </w:p>
    <w:p w14:paraId="22848FCC">
      <w:pPr>
        <w:spacing w:before="65" w:line="228" w:lineRule="auto"/>
        <w:rPr>
          <w:rFonts w:hint="eastAsia" w:ascii="仿宋" w:hAnsi="仿宋" w:eastAsia="仿宋" w:cs="仿宋"/>
          <w:color w:val="auto"/>
          <w:sz w:val="22"/>
          <w:highlight w:val="none"/>
        </w:rPr>
      </w:pPr>
      <w:r>
        <w:rPr>
          <w:rFonts w:hint="eastAsia" w:ascii="仿宋" w:hAnsi="仿宋" w:eastAsia="仿宋" w:cs="仿宋"/>
          <w:color w:val="auto"/>
          <w:highlight w:val="none"/>
        </w:rPr>
        <w:t>附件1：</w:t>
      </w:r>
    </w:p>
    <w:p w14:paraId="30A8A977">
      <w:pPr>
        <w:jc w:val="center"/>
        <w:rPr>
          <w:rFonts w:hint="eastAsia" w:ascii="仿宋" w:hAnsi="仿宋" w:eastAsia="仿宋" w:cs="仿宋"/>
          <w:b/>
          <w:bCs/>
          <w:color w:val="auto"/>
          <w:sz w:val="36"/>
          <w:szCs w:val="36"/>
          <w:highlight w:val="none"/>
        </w:rPr>
      </w:pPr>
      <w:bookmarkStart w:id="4" w:name="_Toc15299_WPSOffice_Level2"/>
      <w:r>
        <w:rPr>
          <w:rFonts w:hint="eastAsia" w:ascii="仿宋" w:hAnsi="仿宋" w:eastAsia="仿宋" w:cs="仿宋"/>
          <w:b/>
          <w:bCs/>
          <w:color w:val="auto"/>
          <w:sz w:val="36"/>
          <w:szCs w:val="36"/>
          <w:highlight w:val="none"/>
          <w:lang w:val="en-US" w:eastAsia="zh-CN"/>
        </w:rPr>
        <w:t>投标人</w:t>
      </w:r>
      <w:r>
        <w:rPr>
          <w:rFonts w:hint="eastAsia" w:ascii="仿宋" w:hAnsi="仿宋" w:eastAsia="仿宋" w:cs="仿宋"/>
          <w:b/>
          <w:bCs/>
          <w:color w:val="auto"/>
          <w:sz w:val="36"/>
          <w:szCs w:val="36"/>
          <w:highlight w:val="none"/>
        </w:rPr>
        <w:t>登记表</w:t>
      </w:r>
      <w:bookmarkEnd w:id="4"/>
    </w:p>
    <w:p w14:paraId="667F5041">
      <w:pPr>
        <w:spacing w:line="64" w:lineRule="exact"/>
        <w:rPr>
          <w:rFonts w:hint="eastAsia" w:ascii="仿宋" w:hAnsi="仿宋" w:eastAsia="仿宋" w:cs="仿宋"/>
          <w:color w:val="auto"/>
          <w:highlight w:val="none"/>
        </w:rPr>
      </w:pPr>
    </w:p>
    <w:tbl>
      <w:tblPr>
        <w:tblStyle w:val="9"/>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7EA6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gridSpan w:val="2"/>
            <w:noWrap w:val="0"/>
            <w:vAlign w:val="center"/>
          </w:tcPr>
          <w:p w14:paraId="3E0206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c>
          <w:tcPr>
            <w:tcW w:w="7102" w:type="dxa"/>
            <w:gridSpan w:val="5"/>
            <w:noWrap w:val="0"/>
            <w:vAlign w:val="center"/>
          </w:tcPr>
          <w:p w14:paraId="28FA0F51">
            <w:pPr>
              <w:jc w:val="center"/>
              <w:rPr>
                <w:rFonts w:hint="eastAsia" w:ascii="仿宋" w:hAnsi="仿宋" w:eastAsia="仿宋" w:cs="仿宋"/>
                <w:color w:val="auto"/>
                <w:sz w:val="24"/>
                <w:szCs w:val="24"/>
                <w:highlight w:val="none"/>
              </w:rPr>
            </w:pPr>
          </w:p>
        </w:tc>
      </w:tr>
      <w:tr w14:paraId="752A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781" w:type="dxa"/>
            <w:gridSpan w:val="2"/>
            <w:noWrap w:val="0"/>
            <w:vAlign w:val="center"/>
          </w:tcPr>
          <w:p w14:paraId="385C606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02" w:type="dxa"/>
            <w:gridSpan w:val="5"/>
            <w:noWrap w:val="0"/>
            <w:vAlign w:val="center"/>
          </w:tcPr>
          <w:p w14:paraId="4ABD22D0">
            <w:pPr>
              <w:jc w:val="center"/>
              <w:rPr>
                <w:rFonts w:hint="eastAsia" w:ascii="仿宋" w:hAnsi="仿宋" w:eastAsia="仿宋" w:cs="仿宋"/>
                <w:color w:val="auto"/>
                <w:sz w:val="24"/>
                <w:szCs w:val="24"/>
                <w:highlight w:val="none"/>
              </w:rPr>
            </w:pPr>
          </w:p>
        </w:tc>
      </w:tr>
      <w:tr w14:paraId="39CA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781" w:type="dxa"/>
            <w:gridSpan w:val="2"/>
            <w:noWrap w:val="0"/>
            <w:vAlign w:val="center"/>
          </w:tcPr>
          <w:p w14:paraId="0E65E3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102" w:type="dxa"/>
            <w:gridSpan w:val="5"/>
            <w:noWrap w:val="0"/>
            <w:vAlign w:val="center"/>
          </w:tcPr>
          <w:p w14:paraId="6956A43D">
            <w:pPr>
              <w:jc w:val="center"/>
              <w:rPr>
                <w:rFonts w:hint="eastAsia" w:ascii="仿宋" w:hAnsi="仿宋" w:eastAsia="仿宋" w:cs="仿宋"/>
                <w:color w:val="auto"/>
                <w:sz w:val="24"/>
                <w:szCs w:val="24"/>
                <w:highlight w:val="none"/>
              </w:rPr>
            </w:pPr>
          </w:p>
        </w:tc>
      </w:tr>
      <w:tr w14:paraId="46AC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1781" w:type="dxa"/>
            <w:gridSpan w:val="2"/>
            <w:noWrap w:val="0"/>
            <w:vAlign w:val="center"/>
          </w:tcPr>
          <w:p w14:paraId="20FDBB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tc>
        <w:tc>
          <w:tcPr>
            <w:tcW w:w="7102" w:type="dxa"/>
            <w:gridSpan w:val="5"/>
            <w:noWrap w:val="0"/>
            <w:vAlign w:val="center"/>
          </w:tcPr>
          <w:p w14:paraId="2436C83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（填写单位全称）（加盖公章）</w:t>
            </w:r>
          </w:p>
        </w:tc>
      </w:tr>
      <w:tr w14:paraId="71DED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312783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p>
        </w:tc>
        <w:tc>
          <w:tcPr>
            <w:tcW w:w="3059" w:type="dxa"/>
            <w:gridSpan w:val="2"/>
            <w:noWrap w:val="0"/>
            <w:vAlign w:val="center"/>
          </w:tcPr>
          <w:p w14:paraId="3E4FCD28">
            <w:pPr>
              <w:jc w:val="center"/>
              <w:rPr>
                <w:rFonts w:hint="eastAsia" w:ascii="仿宋" w:hAnsi="仿宋" w:eastAsia="仿宋" w:cs="仿宋"/>
                <w:color w:val="auto"/>
                <w:sz w:val="24"/>
                <w:szCs w:val="24"/>
                <w:highlight w:val="none"/>
              </w:rPr>
            </w:pPr>
          </w:p>
        </w:tc>
        <w:tc>
          <w:tcPr>
            <w:tcW w:w="1695" w:type="dxa"/>
            <w:noWrap w:val="0"/>
            <w:vAlign w:val="center"/>
          </w:tcPr>
          <w:p w14:paraId="531666E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   机</w:t>
            </w:r>
          </w:p>
        </w:tc>
        <w:tc>
          <w:tcPr>
            <w:tcW w:w="2348" w:type="dxa"/>
            <w:gridSpan w:val="2"/>
            <w:noWrap w:val="0"/>
            <w:vAlign w:val="center"/>
          </w:tcPr>
          <w:p w14:paraId="5C5523FF">
            <w:pPr>
              <w:jc w:val="center"/>
              <w:rPr>
                <w:rFonts w:hint="eastAsia" w:ascii="仿宋" w:hAnsi="仿宋" w:eastAsia="仿宋" w:cs="仿宋"/>
                <w:color w:val="auto"/>
                <w:sz w:val="24"/>
                <w:szCs w:val="24"/>
                <w:highlight w:val="none"/>
              </w:rPr>
            </w:pPr>
          </w:p>
        </w:tc>
      </w:tr>
      <w:tr w14:paraId="456F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458CA8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3059" w:type="dxa"/>
            <w:gridSpan w:val="2"/>
            <w:noWrap w:val="0"/>
            <w:vAlign w:val="center"/>
          </w:tcPr>
          <w:p w14:paraId="4396E9DD">
            <w:pPr>
              <w:jc w:val="center"/>
              <w:rPr>
                <w:rFonts w:hint="eastAsia" w:ascii="仿宋" w:hAnsi="仿宋" w:eastAsia="仿宋" w:cs="仿宋"/>
                <w:color w:val="auto"/>
                <w:sz w:val="24"/>
                <w:szCs w:val="24"/>
                <w:highlight w:val="none"/>
              </w:rPr>
            </w:pPr>
          </w:p>
        </w:tc>
        <w:tc>
          <w:tcPr>
            <w:tcW w:w="1695" w:type="dxa"/>
            <w:noWrap w:val="0"/>
            <w:vAlign w:val="center"/>
          </w:tcPr>
          <w:p w14:paraId="017D19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348" w:type="dxa"/>
            <w:gridSpan w:val="2"/>
            <w:noWrap w:val="0"/>
            <w:vAlign w:val="center"/>
          </w:tcPr>
          <w:p w14:paraId="335C9650">
            <w:pPr>
              <w:jc w:val="center"/>
              <w:rPr>
                <w:rFonts w:hint="eastAsia" w:ascii="仿宋" w:hAnsi="仿宋" w:eastAsia="仿宋" w:cs="仿宋"/>
                <w:color w:val="auto"/>
                <w:sz w:val="24"/>
                <w:szCs w:val="24"/>
                <w:highlight w:val="none"/>
              </w:rPr>
            </w:pPr>
          </w:p>
        </w:tc>
      </w:tr>
      <w:tr w14:paraId="7A0F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7B78EE6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p>
        </w:tc>
        <w:tc>
          <w:tcPr>
            <w:tcW w:w="3059" w:type="dxa"/>
            <w:gridSpan w:val="2"/>
            <w:noWrap w:val="0"/>
            <w:vAlign w:val="center"/>
          </w:tcPr>
          <w:p w14:paraId="7B41663A">
            <w:pPr>
              <w:jc w:val="center"/>
              <w:rPr>
                <w:rFonts w:hint="eastAsia" w:ascii="仿宋" w:hAnsi="仿宋" w:eastAsia="仿宋" w:cs="仿宋"/>
                <w:color w:val="auto"/>
                <w:sz w:val="24"/>
                <w:szCs w:val="24"/>
                <w:highlight w:val="none"/>
              </w:rPr>
            </w:pPr>
          </w:p>
        </w:tc>
        <w:tc>
          <w:tcPr>
            <w:tcW w:w="1695" w:type="dxa"/>
            <w:noWrap w:val="0"/>
            <w:vAlign w:val="center"/>
          </w:tcPr>
          <w:p w14:paraId="30F0C22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348" w:type="dxa"/>
            <w:gridSpan w:val="2"/>
            <w:noWrap w:val="0"/>
            <w:vAlign w:val="center"/>
          </w:tcPr>
          <w:p w14:paraId="5CD2FDEA">
            <w:pPr>
              <w:jc w:val="center"/>
              <w:rPr>
                <w:rFonts w:hint="eastAsia" w:ascii="仿宋" w:hAnsi="仿宋" w:eastAsia="仿宋" w:cs="仿宋"/>
                <w:color w:val="auto"/>
                <w:sz w:val="24"/>
                <w:szCs w:val="24"/>
                <w:highlight w:val="none"/>
              </w:rPr>
            </w:pPr>
          </w:p>
        </w:tc>
      </w:tr>
      <w:tr w14:paraId="40660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5BC1905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tc>
        <w:tc>
          <w:tcPr>
            <w:tcW w:w="7102" w:type="dxa"/>
            <w:gridSpan w:val="5"/>
            <w:noWrap w:val="0"/>
            <w:vAlign w:val="center"/>
          </w:tcPr>
          <w:p w14:paraId="09EDD073">
            <w:pPr>
              <w:jc w:val="center"/>
              <w:rPr>
                <w:rFonts w:hint="eastAsia" w:ascii="仿宋" w:hAnsi="仿宋" w:eastAsia="仿宋" w:cs="仿宋"/>
                <w:color w:val="auto"/>
                <w:sz w:val="24"/>
                <w:szCs w:val="24"/>
                <w:highlight w:val="none"/>
              </w:rPr>
            </w:pPr>
          </w:p>
        </w:tc>
      </w:tr>
      <w:tr w14:paraId="664E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358643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收件地址</w:t>
            </w:r>
          </w:p>
        </w:tc>
        <w:tc>
          <w:tcPr>
            <w:tcW w:w="7102" w:type="dxa"/>
            <w:gridSpan w:val="5"/>
            <w:noWrap w:val="0"/>
            <w:vAlign w:val="center"/>
          </w:tcPr>
          <w:p w14:paraId="104F0C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（请填写默认的收件地址）</w:t>
            </w:r>
          </w:p>
        </w:tc>
      </w:tr>
      <w:tr w14:paraId="4F6E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jc w:val="center"/>
        </w:trPr>
        <w:tc>
          <w:tcPr>
            <w:tcW w:w="1781" w:type="dxa"/>
            <w:gridSpan w:val="2"/>
            <w:noWrap w:val="0"/>
            <w:vAlign w:val="center"/>
          </w:tcPr>
          <w:p w14:paraId="7ED26F2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开票信息及</w:t>
            </w:r>
          </w:p>
          <w:p w14:paraId="6C0584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账户信息</w:t>
            </w:r>
          </w:p>
        </w:tc>
        <w:tc>
          <w:tcPr>
            <w:tcW w:w="7102" w:type="dxa"/>
            <w:gridSpan w:val="5"/>
            <w:noWrap w:val="0"/>
            <w:vAlign w:val="center"/>
          </w:tcPr>
          <w:p w14:paraId="345492C8">
            <w:pPr>
              <w:spacing w:line="40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一般纳税人：</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 xml:space="preserve">是 / </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p>
          <w:p w14:paraId="4109ED99">
            <w:pPr>
              <w:spacing w:line="40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标书费发票</w:t>
            </w:r>
            <w:r>
              <w:rPr>
                <w:rFonts w:hint="eastAsia" w:ascii="仿宋" w:hAnsi="仿宋" w:eastAsia="仿宋" w:cs="仿宋"/>
                <w:color w:val="auto"/>
                <w:sz w:val="24"/>
                <w:szCs w:val="24"/>
                <w:highlight w:val="none"/>
              </w:rPr>
              <w:t>：普票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/专票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服务费发票</w:t>
            </w:r>
            <w:r>
              <w:rPr>
                <w:rFonts w:hint="eastAsia" w:ascii="仿宋" w:hAnsi="仿宋" w:eastAsia="仿宋" w:cs="仿宋"/>
                <w:color w:val="auto"/>
                <w:sz w:val="24"/>
                <w:szCs w:val="24"/>
                <w:highlight w:val="none"/>
              </w:rPr>
              <w:t>：普票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/专票</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w:t>
            </w:r>
          </w:p>
          <w:p w14:paraId="47B3F14D">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760C1C79">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大额行号：</w:t>
            </w:r>
          </w:p>
          <w:p w14:paraId="34A6EE04">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    号：</w:t>
            </w:r>
          </w:p>
          <w:p w14:paraId="69A3B5E1">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550D8473">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7E62EFB9">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w:t>
            </w:r>
          </w:p>
          <w:p w14:paraId="15CA2EA1">
            <w:pPr>
              <w:spacing w:line="360" w:lineRule="exact"/>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069E4C79">
            <w:pPr>
              <w:spacing w:line="240" w:lineRule="auto"/>
              <w:ind w:left="105" w:lef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注：此栏信息必须准确。参与响应，本项目结束后，此公司基本账户信息将作为默认的退款账户信息和开票信息（如中标）。</w:t>
            </w:r>
          </w:p>
        </w:tc>
      </w:tr>
      <w:tr w14:paraId="6535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883" w:type="dxa"/>
            <w:gridSpan w:val="7"/>
            <w:noWrap w:val="0"/>
            <w:vAlign w:val="center"/>
          </w:tcPr>
          <w:p w14:paraId="3F3836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递交的文件材料</w:t>
            </w:r>
          </w:p>
        </w:tc>
      </w:tr>
      <w:tr w14:paraId="2C40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dxa"/>
            <w:noWrap w:val="0"/>
            <w:vAlign w:val="center"/>
          </w:tcPr>
          <w:p w14:paraId="562A0B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53" w:type="dxa"/>
            <w:gridSpan w:val="2"/>
            <w:noWrap w:val="0"/>
            <w:vAlign w:val="center"/>
          </w:tcPr>
          <w:p w14:paraId="09DFF67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材料名称</w:t>
            </w:r>
          </w:p>
        </w:tc>
        <w:tc>
          <w:tcPr>
            <w:tcW w:w="2219" w:type="dxa"/>
            <w:gridSpan w:val="3"/>
            <w:noWrap w:val="0"/>
            <w:vAlign w:val="center"/>
          </w:tcPr>
          <w:p w14:paraId="1A7FEC7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是否提交</w:t>
            </w:r>
          </w:p>
        </w:tc>
        <w:tc>
          <w:tcPr>
            <w:tcW w:w="2224" w:type="dxa"/>
            <w:noWrap w:val="0"/>
            <w:vAlign w:val="center"/>
          </w:tcPr>
          <w:p w14:paraId="6DAAF70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17B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787" w:type="dxa"/>
            <w:noWrap w:val="0"/>
            <w:vAlign w:val="center"/>
          </w:tcPr>
          <w:p w14:paraId="1E0598B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653" w:type="dxa"/>
            <w:gridSpan w:val="2"/>
            <w:noWrap w:val="0"/>
            <w:vAlign w:val="center"/>
          </w:tcPr>
          <w:p w14:paraId="362116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单位介绍信/授权委托书</w:t>
            </w:r>
          </w:p>
        </w:tc>
        <w:tc>
          <w:tcPr>
            <w:tcW w:w="2219" w:type="dxa"/>
            <w:gridSpan w:val="3"/>
            <w:noWrap w:val="0"/>
            <w:vAlign w:val="center"/>
          </w:tcPr>
          <w:p w14:paraId="33C62066">
            <w:pPr>
              <w:jc w:val="center"/>
              <w:rPr>
                <w:rFonts w:hint="eastAsia" w:ascii="仿宋" w:hAnsi="仿宋" w:eastAsia="仿宋" w:cs="仿宋"/>
                <w:color w:val="auto"/>
                <w:sz w:val="24"/>
                <w:szCs w:val="24"/>
                <w:highlight w:val="none"/>
              </w:rPr>
            </w:pPr>
          </w:p>
        </w:tc>
        <w:tc>
          <w:tcPr>
            <w:tcW w:w="2224" w:type="dxa"/>
            <w:noWrap w:val="0"/>
            <w:vAlign w:val="center"/>
          </w:tcPr>
          <w:p w14:paraId="089F800B">
            <w:pPr>
              <w:jc w:val="center"/>
              <w:rPr>
                <w:rFonts w:hint="eastAsia" w:ascii="仿宋" w:hAnsi="仿宋" w:eastAsia="仿宋" w:cs="仿宋"/>
                <w:color w:val="auto"/>
                <w:sz w:val="24"/>
                <w:szCs w:val="24"/>
                <w:highlight w:val="none"/>
              </w:rPr>
            </w:pPr>
          </w:p>
        </w:tc>
      </w:tr>
      <w:tr w14:paraId="5E66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87" w:type="dxa"/>
            <w:noWrap w:val="0"/>
            <w:vAlign w:val="center"/>
          </w:tcPr>
          <w:p w14:paraId="1AB330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53" w:type="dxa"/>
            <w:gridSpan w:val="2"/>
            <w:noWrap w:val="0"/>
            <w:vAlign w:val="center"/>
          </w:tcPr>
          <w:p w14:paraId="7ADB0B53">
            <w:pPr>
              <w:jc w:val="center"/>
              <w:rPr>
                <w:rFonts w:hint="eastAsia" w:ascii="仿宋" w:hAnsi="仿宋" w:eastAsia="仿宋" w:cs="仿宋"/>
                <w:color w:val="auto"/>
                <w:sz w:val="24"/>
                <w:szCs w:val="24"/>
                <w:highlight w:val="none"/>
              </w:rPr>
            </w:pPr>
          </w:p>
        </w:tc>
        <w:tc>
          <w:tcPr>
            <w:tcW w:w="2219" w:type="dxa"/>
            <w:gridSpan w:val="3"/>
            <w:noWrap w:val="0"/>
            <w:vAlign w:val="center"/>
          </w:tcPr>
          <w:p w14:paraId="66AB2FC8">
            <w:pPr>
              <w:jc w:val="center"/>
              <w:rPr>
                <w:rFonts w:hint="eastAsia" w:ascii="仿宋" w:hAnsi="仿宋" w:eastAsia="仿宋" w:cs="仿宋"/>
                <w:color w:val="auto"/>
                <w:sz w:val="24"/>
                <w:szCs w:val="24"/>
                <w:highlight w:val="none"/>
              </w:rPr>
            </w:pPr>
          </w:p>
        </w:tc>
        <w:tc>
          <w:tcPr>
            <w:tcW w:w="2224" w:type="dxa"/>
            <w:noWrap w:val="0"/>
            <w:vAlign w:val="center"/>
          </w:tcPr>
          <w:p w14:paraId="0AEA03A1">
            <w:pPr>
              <w:jc w:val="center"/>
              <w:rPr>
                <w:rFonts w:hint="eastAsia" w:ascii="仿宋" w:hAnsi="仿宋" w:eastAsia="仿宋" w:cs="仿宋"/>
                <w:color w:val="auto"/>
                <w:sz w:val="24"/>
                <w:szCs w:val="24"/>
                <w:highlight w:val="none"/>
              </w:rPr>
            </w:pPr>
          </w:p>
        </w:tc>
      </w:tr>
    </w:tbl>
    <w:p w14:paraId="01CF3BE8">
      <w:pPr>
        <w:spacing w:before="101"/>
        <w:outlineLvl w:val="1"/>
        <w:rPr>
          <w:rFonts w:hint="eastAsia" w:ascii="仿宋" w:hAnsi="仿宋" w:eastAsia="仿宋" w:cs="仿宋"/>
          <w:color w:val="auto"/>
          <w:sz w:val="22"/>
          <w:highlight w:val="none"/>
        </w:rPr>
        <w:sectPr>
          <w:headerReference r:id="rId5" w:type="default"/>
          <w:footerReference r:id="rId6" w:type="default"/>
          <w:pgSz w:w="11905" w:h="16838"/>
          <w:pgMar w:top="1871" w:right="1361" w:bottom="1247" w:left="1361" w:header="850" w:footer="737" w:gutter="0"/>
          <w:pgBorders>
            <w:top w:val="none" w:sz="0" w:space="0"/>
            <w:left w:val="none" w:sz="0" w:space="0"/>
            <w:bottom w:val="none" w:sz="0" w:space="0"/>
            <w:right w:val="none" w:sz="0" w:space="0"/>
          </w:pgBorders>
          <w:pgNumType w:fmt="decimal"/>
          <w:cols w:space="720" w:num="1"/>
          <w:rtlGutter w:val="0"/>
          <w:docGrid w:type="lines" w:linePitch="319" w:charSpace="0"/>
        </w:sectPr>
      </w:pPr>
      <w:bookmarkStart w:id="5" w:name="_Toc14772"/>
      <w:r>
        <w:rPr>
          <w:rFonts w:hint="eastAsia" w:ascii="仿宋" w:hAnsi="仿宋" w:eastAsia="仿宋" w:cs="仿宋"/>
          <w:color w:val="auto"/>
          <w:sz w:val="22"/>
          <w:highlight w:val="none"/>
        </w:rPr>
        <w:t>注：本表中的电子邮箱、地址、联系人、联系电话必须准确，确保能及时接收到相关资料（含</w:t>
      </w:r>
      <w:r>
        <w:rPr>
          <w:rFonts w:hint="eastAsia" w:ascii="仿宋" w:hAnsi="仿宋" w:eastAsia="仿宋" w:cs="仿宋"/>
          <w:color w:val="auto"/>
          <w:sz w:val="22"/>
          <w:highlight w:val="none"/>
          <w:lang w:val="en-US" w:eastAsia="zh-CN"/>
        </w:rPr>
        <w:t>招标</w:t>
      </w:r>
      <w:r>
        <w:rPr>
          <w:rFonts w:hint="eastAsia" w:ascii="仿宋" w:hAnsi="仿宋" w:eastAsia="仿宋" w:cs="仿宋"/>
          <w:color w:val="auto"/>
          <w:sz w:val="22"/>
          <w:highlight w:val="none"/>
        </w:rPr>
        <w:t>文件）和信息、快递等。</w:t>
      </w:r>
      <w:bookmarkEnd w:id="5"/>
    </w:p>
    <w:p w14:paraId="1F55B2A4">
      <w:pPr>
        <w:spacing w:after="478" w:afterLines="15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附件2：           </w:t>
      </w:r>
      <w:r>
        <w:rPr>
          <w:rFonts w:hint="eastAsia" w:ascii="仿宋" w:hAnsi="仿宋" w:eastAsia="仿宋" w:cs="仿宋"/>
          <w:b/>
          <w:bCs/>
          <w:color w:val="auto"/>
          <w:sz w:val="28"/>
          <w:szCs w:val="28"/>
          <w:highlight w:val="none"/>
        </w:rPr>
        <w:t>单位介绍信或经办人的授权委托书</w:t>
      </w:r>
    </w:p>
    <w:p w14:paraId="5D28584F">
      <w:pPr>
        <w:widowControl/>
        <w:kinsoku w:val="0"/>
        <w:autoSpaceDE w:val="0"/>
        <w:autoSpaceDN w:val="0"/>
        <w:adjustRightInd w:val="0"/>
        <w:snapToGrid w:val="0"/>
        <w:spacing w:before="159" w:beforeLines="5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格式自拟，并附被委托人身份证明复印件</w:t>
      </w:r>
    </w:p>
    <w:p w14:paraId="5E005F87">
      <w:pPr>
        <w:rPr>
          <w:rFonts w:hint="eastAsia" w:ascii="仿宋" w:hAnsi="仿宋" w:eastAsia="仿宋" w:cs="仿宋"/>
          <w:color w:val="auto"/>
          <w:sz w:val="24"/>
          <w:szCs w:val="24"/>
          <w:highlight w:val="none"/>
        </w:rPr>
      </w:pPr>
    </w:p>
    <w:p w14:paraId="4CCBFFF5">
      <w:pPr>
        <w:rPr>
          <w:rFonts w:hint="eastAsia" w:ascii="仿宋" w:hAnsi="仿宋" w:eastAsia="仿宋" w:cs="仿宋"/>
          <w:color w:val="auto"/>
          <w:sz w:val="24"/>
          <w:szCs w:val="24"/>
          <w:highlight w:val="none"/>
        </w:rPr>
      </w:pPr>
    </w:p>
    <w:p w14:paraId="70954772">
      <w:pPr>
        <w:pStyle w:val="2"/>
        <w:numPr>
          <w:ilvl w:val="2"/>
          <w:numId w:val="0"/>
        </w:numPr>
        <w:rPr>
          <w:rFonts w:hint="eastAsia" w:ascii="仿宋" w:hAnsi="仿宋" w:eastAsia="仿宋" w:cs="仿宋"/>
          <w:color w:val="auto"/>
          <w:sz w:val="24"/>
          <w:szCs w:val="24"/>
          <w:highlight w:val="none"/>
        </w:rPr>
      </w:pPr>
    </w:p>
    <w:p w14:paraId="60D32EF4">
      <w:pPr>
        <w:wordWrap w:val="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5674BDC">
      <w:pPr>
        <w:wordWrap w:val="0"/>
        <w:jc w:val="right"/>
        <w:rPr>
          <w:rFonts w:hint="eastAsia" w:ascii="仿宋" w:hAnsi="仿宋" w:eastAsia="仿宋" w:cs="仿宋"/>
          <w:color w:val="auto"/>
          <w:sz w:val="24"/>
          <w:szCs w:val="24"/>
          <w:highlight w:val="none"/>
        </w:rPr>
      </w:pPr>
    </w:p>
    <w:p w14:paraId="2927E46A">
      <w:pPr>
        <w:wordWrap w:val="0"/>
        <w:spacing w:line="360" w:lineRule="auto"/>
        <w:jc w:val="right"/>
        <w:rPr>
          <w:rFonts w:hint="eastAsia" w:ascii="仿宋" w:hAnsi="仿宋" w:eastAsia="仿宋" w:cs="仿宋"/>
          <w:color w:val="auto"/>
          <w:sz w:val="24"/>
          <w:szCs w:val="24"/>
          <w:highlight w:val="none"/>
        </w:rPr>
      </w:pPr>
    </w:p>
    <w:p w14:paraId="412D2878">
      <w:pPr>
        <w:wordWrap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E054337">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授权人（签名或签章）：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4E36BE">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66D7AB6">
      <w:pPr>
        <w:spacing w:line="360" w:lineRule="auto"/>
        <w:ind w:firstLine="6000" w:firstLineChars="2500"/>
        <w:rPr>
          <w:rFonts w:hint="eastAsia" w:ascii="仿宋" w:hAnsi="仿宋" w:eastAsia="仿宋" w:cs="仿宋"/>
          <w:color w:val="auto"/>
          <w:sz w:val="24"/>
          <w:szCs w:val="24"/>
          <w:highlight w:val="none"/>
        </w:rPr>
      </w:pPr>
    </w:p>
    <w:p w14:paraId="1D4806BE">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2F6ABE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D3A3">
    <w:pPr>
      <w:spacing w:line="236" w:lineRule="exact"/>
      <w:ind w:left="3968"/>
      <w:rPr>
        <w:rFonts w:ascii="Times New Roman" w:hAnsi="Times New Roman"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B41C2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EB41C2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DAD9">
    <w:pPr>
      <w:spacing w:line="236" w:lineRule="exact"/>
      <w:ind w:left="39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9CED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7C9CED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4F6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3D1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2"/>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54BA"/>
    <w:rsid w:val="058B1BC3"/>
    <w:rsid w:val="09CC5E80"/>
    <w:rsid w:val="22C054BA"/>
    <w:rsid w:val="23F428B4"/>
    <w:rsid w:val="3670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numPr>
        <w:ilvl w:val="2"/>
        <w:numId w:val="1"/>
      </w:numPr>
      <w:ind w:left="0"/>
      <w:outlineLvl w:val="2"/>
    </w:pPr>
    <w:rPr>
      <w:rFonts w:eastAsia="仿宋"/>
      <w:spacing w:val="-5"/>
      <w:kern w:val="28"/>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character" w:customStyle="1" w:styleId="8">
    <w:name w:val="15"/>
    <w:basedOn w:val="7"/>
    <w:qFormat/>
    <w:uiPriority w:val="0"/>
    <w:rPr>
      <w:rFonts w:hint="default" w:ascii="Calibri" w:hAnsi="Calibri" w:cs="Calibri"/>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PlainText"/>
    <w:basedOn w:val="1"/>
    <w:qFormat/>
    <w:uiPriority w:val="99"/>
    <w:pPr>
      <w:widowControl/>
      <w:textAlignment w:val="baseline"/>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2445</Words>
  <Characters>2686</Characters>
  <Lines>0</Lines>
  <Paragraphs>0</Paragraphs>
  <TotalTime>0</TotalTime>
  <ScaleCrop>false</ScaleCrop>
  <LinksUpToDate>false</LinksUpToDate>
  <CharactersWithSpaces>2896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2026-02-10T06:41:00Z</dcterms:created>
  <dc:creator>liuwenshuan</dc:creator>
  <cp:lastModifiedBy>liuwenshuan</cp:lastModifiedBy>
  <dcterms:modified xsi:type="dcterms:W3CDTF">2026-02-10T07:32:23Z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2E94A0BF6E8A43F0B1123C2B901D145C_11</vt:lpwstr>
  </property>
  <property fmtid="{D5CDD505-2E9C-101B-9397-08002B2CF9AE}" pid="4" name="KSOTemplateDocerSaveRecord">
    <vt:lpwstr>eyJoZGlkIjoiMzEwNTM5NzYwMDRjMzkwZTVkZjY2ODkwMGIxNGU0OTUiLCJ1c2VySWQiOiIxMjA3ODU3MzU5In0=</vt:lpwstr>
  </property>
</Properties>
</file>